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14 366 vom 11. Februar 2015</w:t>
      </w:r>
    </w:p>
    <w:p>
      <w:r>
        <w:t>BL Gerichte, 2015-02-11, DE</w:t>
      </w:r>
    </w:p>
    <w:p>
      <w:r>
        <w:rPr>
          <w:b/>
        </w:rPr>
        <w:t xml:space="preserve">Quelle: </w:t>
      </w:r>
      <w:r>
        <w:t>https://mcp.opencaselaw.ch/entscheid/bl_gerichte_810 14 366</w:t>
      </w:r>
    </w:p>
    <w:p>
      <w:r>
        <w:t>FR: BL_GERICHTE 810 14 366 du 11 février 2015</w:t>
      </w:r>
    </w:p>
    <w:p>
      <w:r>
        <w:t>IT: BL_GERICHTE 810 14 366 del 11 febbraio 2015</w:t>
      </w:r>
    </w:p>
    <w:p>
      <w:pPr>
        <w:pStyle w:val="Heading2"/>
      </w:pPr>
      <w:r>
        <w:t>Regeste</w:t>
      </w:r>
    </w:p>
    <w:p>
      <w:r>
        <w:t>Strassenbeitrag (Zwischenentscheid der Abteilung Enteignungsgericht Basel-Landschaft vom 20. März 2014)</w:t>
      </w:r>
    </w:p>
    <w:p>
      <w:pPr>
        <w:pStyle w:val="Heading2"/>
      </w:pPr>
      <w:r>
        <w:t>Erwägungen</w:t>
      </w:r>
    </w:p>
    <w:p>
      <w:r>
        <w:rPr>
          <w:b/>
        </w:rPr>
        <w:t>E. 2</w:t>
      </w:r>
    </w:p>
    <w:p>
      <w:r>
        <w:t>Zwischenverfügungen sind nach § 43 Abs. 2 bis VPO selbständig anfechtbar, wenn sie die Zuständigkeit (lit. a), den Ausstand (lit. b), die Auskunfts- oder Editionspflicht (lit. c), die Verweigerung der Akteneinsicht (lit. d), die Nichtabnahme gefährdeter Beweise (lit. e), vorsorgliche Massnahmen und den Entzug sowie die Erteilung der aufschiebenden Wirkung (lit. f) oder die Verweigerung der unentgeltlichen Rechtspflege (lit. g) zum Gegenstand haben. Der Gesetzgeber beabsichtigte mit dieser Formulierung, die Anfechtbarkeit von Zwischenverfügungen aus Gründen der Prozessökonomie und der Verfahrensbeschleunigung zu beschränken, weshalb in einem abschliessenden Katalog aufgelistet wurde, welche Zwischenverfügungen selbständig anfechtbar sind (vgl. Vorlage an den Landrat vom 19. Juni 2007 [2007/153] betreffend Teilrevision des Gesetzes über die Verfassungs- und Verwaltungsprozessordnung, S. 20). Das Kantonsgericht soll sich - gleich wie das Bundesgericht - mit jeder Angelegenheit grundsätzlich nur einmal inhaltlich befassen. Der abschliessende Charakter der Regelung steht allerdings nicht in Übereinstimmung mit dem Bundesrecht: Nach Art. 86 Abs. 2 des Bundesgesetzes über das Bundesgericht (BGG) vom 17. Juni 2005 setzen die Kantone in öffentlichrechtlichen Angelegenheiten als unmittelbare Vorinstanzen des Bundesgerichts obere Gerichte ein, soweit nicht nach einem anderen Bundesgesetz Entscheide anderer richterlicher Behörden der Beschwerde an das Bundesgericht unterliegen. Gestützt darauf ist es unzulässig, den Weiterzug an eine obere kantonale Gerichtsbehörde auszuschliessen, wenn letztinstanzlich das Bundesgericht angerufen werden kann (vgl. Urteil des BGer 2C_467/2010 vom 10. Juni 2010 E. 2.3). Gemäss Art. 93 Abs. 1 lit. a BGG ist die Beschwerde gegen Zwischenentscheide an das Bundesgericht ausnahmsweise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Sind diese Tatbestandsvoraussetzungen erfüllt, darf das kantonale Recht den Weiterzug von Zwischenverfügungen an das Kantonsgericht als obere kantonale Gerichtsbehörde nicht ausschliessen. Die Vorschrift von § 43 Abs. 2 bis VPO, wonach die selbständige Anfechtbarkeit von nicht im Katalog aufgeführten Zwischenverfügungen selbst bei Vorliegen der Voraussetzungen von Art. 93 Abs. 1 BGG ausgeschlossen ist, widerspricht insofern dem übergeordneten Recht (vgl. KGE VV vom 6. September 2010, in: BLKGE 2010 Nr. 45 E. 1.5). In bundesrechtskonformer Auslegung von § 43 Abs. 2 bis VPO ist die Beschwerde an das Kantonsgericht gegen selbständig eröffnete Zwischenverfügungen demnach zulässig, wenn der angefochtene Entscheid im Katalog von § 43 Abs. 2 bis VPO aufgeführt ist oder wenn dagegen letztinstanzlich das Bundesgericht angerufen werden kann.</w:t>
      </w:r>
    </w:p>
    <w:p>
      <w:r>
        <w:rPr>
          <w:b/>
        </w:rPr>
        <w:t>E. 3</w:t>
      </w:r>
    </w:p>
    <w:p>
      <w:r>
        <w:t>Der vorliegend angefochtene Entscheid über materielle Vorfragen lässt sich nicht unter eine der im Katalog von § 43 Abs. 2 bis VPO aufgeführten selbständig anfechtbaren Zwischenverfügungen subsumieren. Eine Berufung auf Art. 93 Abs. 1 lit. a BGG scheidet aus, denn der Zwischenentscheid auferlegt den Beschwerdeführern keine Belastung für die Dauer des Prozesses, weshalb sie keinen nicht wieder gutzumachenden Nachteil erleiden. Auch der Ausnahmefall nach Art. 93 Abs. 1 lit. b BGG ist nicht gegeben. Dafür fehlt es bereits an der ersten Voraussetzung, dass das Bundesgericht (resp. Kantonsgericht) - sollte es die Rechtsauffassung der Beschwerdeführer teilen - einen verfahrensabschliessenden Endentscheid fällen könnte, denn es wird in der Beschwerde die Rückweisung an die Vorinstanz zu neuer Entscheidung beantragt. Eine Weiterzugsmöglichkeit der vorliegenden Angelegenheit an das Bundesgericht ist demnach ausgeschlossen. Somit zeigt sich, dass der angefochtene Entscheid keine beim Kantonsgericht selbständig anfechtbare Zwischenverfügung darstellt. Aus diesem Grund kann auf die Beschwerde nicht eingetreten werden. Zu bemerken bleibt, dass sämtliche in der Beschwerde vorgebrachten Rügen in einem allfälligen Beschwerdeverfahren gegen den Endentscheid des Enteignungsgerichts vor Kantonsgericht erneut thematisiert werden können (vgl. Art. 93 Abs. 3 BGG), was eine inhaltliche Auseinandersetzung mit den vorgebrachten Argumenten im jetzigen Verfahrensstadium ausschliesst.</w:t>
      </w:r>
    </w:p>
    <w:p>
      <w:r>
        <w:rPr>
          <w:b/>
        </w:rPr>
        <w:t>E. 4</w:t>
      </w:r>
    </w:p>
    <w:p>
      <w:r>
        <w:t>Es bleibt über die Kosten zu befinden. Gemäss § 20 Abs. 1 VPO ist das Verfahren vor Kantonsgericht kostenpflichtig. Die Verfahrenskosten umfassen die Gerichtsgebühren und die Beweiskosten und werden in der Regel in angemessenem Ausmass der ganz oder teilweise unterliegenden Partei auferlegt (§ 20 Abs. 3 VPO). Angesichts des Ausgangs des Verfahrens sind die Verfahrenskosten in der Höhe von Fr. 500.-- den unterliegenden Beschwerdeführern aufzuerlegen und mit dem im Verfahren Nr. 810 14 195 geleisteten Kostenvorschuss in der Höhe von Fr. 500.-- zu verrechnen. Im Weiteren sind die Parteikosten wettzuschlagen. Demgemäss wird e r k a n n t : 1. Auf die Beschwerde wird nicht eingetreten. 2. Die Verfahrenskosten in der Höhe von Fr. 500.-- werden den Beschwerdeführern auferlegt und mit dem im Verfahren Nr. 810 14 195 geleisteten Kostenvorschuss in der Höhe von Fr. 500.-- verrechnet. 3. Die Parteikosten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